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05D13" w14:textId="15CEA4D1" w:rsidR="00001230" w:rsidRDefault="00001230">
      <w:r>
        <w:t>King Open School Council Meeting</w:t>
      </w:r>
    </w:p>
    <w:p w14:paraId="0E69E7BD" w14:textId="6BDAE2E3" w:rsidR="00001230" w:rsidRDefault="00001230">
      <w:r>
        <w:t>Nov 20, 2024</w:t>
      </w:r>
    </w:p>
    <w:p w14:paraId="5A3AE6DE" w14:textId="77777777" w:rsidR="00001230" w:rsidRDefault="00001230"/>
    <w:p w14:paraId="3A3D01D4" w14:textId="0CE003A4" w:rsidR="00BB1652" w:rsidRPr="00BB1652" w:rsidRDefault="00BB1652">
      <w:pPr>
        <w:rPr>
          <w:u w:val="single"/>
        </w:rPr>
      </w:pPr>
      <w:r w:rsidRPr="00BB1652">
        <w:rPr>
          <w:u w:val="single"/>
        </w:rPr>
        <w:t>Attendees</w:t>
      </w:r>
    </w:p>
    <w:p w14:paraId="322DC50C" w14:textId="6BA303BE" w:rsidR="00BB1652" w:rsidRDefault="00BB1652" w:rsidP="00BB1652">
      <w:r w:rsidRPr="00BB1652">
        <w:rPr>
          <w:b/>
          <w:bCs/>
        </w:rPr>
        <w:t>Staff:</w:t>
      </w:r>
      <w:r>
        <w:t xml:space="preserve"> Principal Darrell Williams (chair), May Petrov, </w:t>
      </w:r>
      <w:r w:rsidR="00001230">
        <w:t xml:space="preserve">Ruth Jones, Kate Souza, </w:t>
      </w:r>
      <w:r w:rsidR="00457297">
        <w:t>Jackie Romero</w:t>
      </w:r>
      <w:r w:rsidR="00001230">
        <w:t>, Ada Riggins, Bucky O’Hare</w:t>
      </w:r>
      <w:r>
        <w:t xml:space="preserve">, </w:t>
      </w:r>
      <w:proofErr w:type="spellStart"/>
      <w:r>
        <w:t>Neusa</w:t>
      </w:r>
      <w:proofErr w:type="spellEnd"/>
      <w:r>
        <w:t xml:space="preserve"> Dacosta</w:t>
      </w:r>
    </w:p>
    <w:p w14:paraId="4A7A3785" w14:textId="77777777" w:rsidR="00BB1652" w:rsidRDefault="00BB1652" w:rsidP="00BB1652">
      <w:r w:rsidRPr="00BB1652">
        <w:rPr>
          <w:b/>
          <w:bCs/>
        </w:rPr>
        <w:t>Parents:</w:t>
      </w:r>
      <w:r>
        <w:t xml:space="preserve"> </w:t>
      </w:r>
      <w:r w:rsidR="00001230">
        <w:t>Kate McGovern</w:t>
      </w:r>
      <w:r>
        <w:t xml:space="preserve"> (co-chair)</w:t>
      </w:r>
      <w:r w:rsidR="00001230">
        <w:t xml:space="preserve">, </w:t>
      </w:r>
      <w:r>
        <w:t xml:space="preserve">Aram Harrow, </w:t>
      </w:r>
      <w:r w:rsidR="00001230">
        <w:t xml:space="preserve">Jackie </w:t>
      </w:r>
      <w:proofErr w:type="spellStart"/>
      <w:r w:rsidR="00001230">
        <w:t>Gantzer</w:t>
      </w:r>
      <w:proofErr w:type="spellEnd"/>
      <w:r w:rsidR="00001230">
        <w:t>, Sean Bulger, Jessica</w:t>
      </w:r>
      <w:r>
        <w:t xml:space="preserve"> Brewer</w:t>
      </w:r>
      <w:r w:rsidR="00C059F7">
        <w:t>, Alison Munroe</w:t>
      </w:r>
    </w:p>
    <w:p w14:paraId="33436370" w14:textId="38DB272A" w:rsidR="00001230" w:rsidRDefault="009879A3" w:rsidP="00BB1652">
      <w:r w:rsidRPr="00BB1652">
        <w:rPr>
          <w:b/>
          <w:bCs/>
        </w:rPr>
        <w:t>Remote:</w:t>
      </w:r>
      <w:r>
        <w:t xml:space="preserve"> Jose Jiminez</w:t>
      </w:r>
    </w:p>
    <w:p w14:paraId="49846C60" w14:textId="77777777" w:rsidR="00001230" w:rsidRDefault="00001230"/>
    <w:p w14:paraId="0F117D03" w14:textId="1093455A" w:rsidR="00001230" w:rsidRPr="00001230" w:rsidRDefault="00001230">
      <w:pPr>
        <w:rPr>
          <w:u w:val="single"/>
        </w:rPr>
      </w:pPr>
      <w:r w:rsidRPr="00001230">
        <w:rPr>
          <w:u w:val="single"/>
        </w:rPr>
        <w:t>Spring 2024 MCAS data</w:t>
      </w:r>
      <w:r w:rsidR="00CD23D0">
        <w:rPr>
          <w:u w:val="single"/>
        </w:rPr>
        <w:t xml:space="preserve"> for grades 3-5</w:t>
      </w:r>
    </w:p>
    <w:p w14:paraId="13C5B2FA" w14:textId="77777777" w:rsidR="00001230" w:rsidRDefault="00001230">
      <w:r>
        <w:t xml:space="preserve">We reviewed the changes from 2023 to 2024: </w:t>
      </w:r>
    </w:p>
    <w:p w14:paraId="22601A16" w14:textId="738FD6DD" w:rsidR="00001230" w:rsidRDefault="00001230" w:rsidP="00001230">
      <w:pPr>
        <w:pStyle w:val="ListParagraph"/>
        <w:numPr>
          <w:ilvl w:val="0"/>
          <w:numId w:val="1"/>
        </w:numPr>
      </w:pPr>
      <w:r>
        <w:t xml:space="preserve">ELA achievement went from 0 to 4.   The “0” from last year was because our score had declined from 2022.  The “4” from this year means we exceeded the DESE target. </w:t>
      </w:r>
      <w:r w:rsidR="00083FAA">
        <w:t xml:space="preserve">  (More detailed scores will be discussed below.)</w:t>
      </w:r>
    </w:p>
    <w:p w14:paraId="0B8C0565" w14:textId="77777777" w:rsidR="00001230" w:rsidRDefault="00001230" w:rsidP="00001230">
      <w:pPr>
        <w:pStyle w:val="ListParagraph"/>
        <w:numPr>
          <w:ilvl w:val="0"/>
          <w:numId w:val="1"/>
        </w:numPr>
      </w:pPr>
      <w:r>
        <w:t xml:space="preserve">Science went from 4 to 0. </w:t>
      </w:r>
    </w:p>
    <w:p w14:paraId="6F5AA48B" w14:textId="3C5A6AD3" w:rsidR="00001230" w:rsidRDefault="00001230" w:rsidP="00001230">
      <w:pPr>
        <w:pStyle w:val="ListParagraph"/>
        <w:numPr>
          <w:ilvl w:val="0"/>
          <w:numId w:val="1"/>
        </w:numPr>
      </w:pPr>
      <w:r>
        <w:t>Math remained at 4.</w:t>
      </w:r>
    </w:p>
    <w:p w14:paraId="62075E13" w14:textId="77777777" w:rsidR="00001230" w:rsidRDefault="00001230" w:rsidP="00001230">
      <w:pPr>
        <w:pStyle w:val="ListParagraph"/>
        <w:numPr>
          <w:ilvl w:val="0"/>
          <w:numId w:val="1"/>
        </w:numPr>
      </w:pPr>
      <w:r>
        <w:t xml:space="preserve">ELA growth went from 2 to 3. </w:t>
      </w:r>
    </w:p>
    <w:p w14:paraId="46E39ADD" w14:textId="42416689" w:rsidR="00001230" w:rsidRDefault="00001230" w:rsidP="00001230">
      <w:pPr>
        <w:pStyle w:val="ListParagraph"/>
        <w:numPr>
          <w:ilvl w:val="0"/>
          <w:numId w:val="1"/>
        </w:numPr>
      </w:pPr>
      <w:r>
        <w:t>Other categories stayed the same.</w:t>
      </w:r>
    </w:p>
    <w:p w14:paraId="4A03ABBA" w14:textId="77777777" w:rsidR="00001230" w:rsidRDefault="00001230" w:rsidP="00001230"/>
    <w:p w14:paraId="17F86154" w14:textId="5DB15102" w:rsidR="00001230" w:rsidRDefault="00001230" w:rsidP="00001230">
      <w:r>
        <w:t>ELA:</w:t>
      </w:r>
    </w:p>
    <w:p w14:paraId="4DDA4D95" w14:textId="71FD991F" w:rsidR="00001230" w:rsidRDefault="00001230" w:rsidP="00001230">
      <w:proofErr w:type="gramStart"/>
      <w:r>
        <w:t>Overall</w:t>
      </w:r>
      <w:proofErr w:type="gramEnd"/>
      <w:r>
        <w:t xml:space="preserve"> the students exceeded the target.  However, the high-needs and low-income groups were improved but still below the target.</w:t>
      </w:r>
      <w:r w:rsidR="00CD23D0">
        <w:t xml:space="preserve">  Our score of 498 can be compared with 493 for the state or 504 for CPSD.</w:t>
      </w:r>
    </w:p>
    <w:p w14:paraId="0F46DF30" w14:textId="59EEF0C9" w:rsidR="00FF6787" w:rsidRDefault="00FF6787" w:rsidP="00001230">
      <w:r>
        <w:t>3</w:t>
      </w:r>
      <w:r w:rsidRPr="00FF6787">
        <w:rPr>
          <w:vertAlign w:val="superscript"/>
        </w:rPr>
        <w:t>rd</w:t>
      </w:r>
      <w:r>
        <w:t xml:space="preserve"> graders meeting or exceeding expectation: 68%</w:t>
      </w:r>
    </w:p>
    <w:p w14:paraId="58E7A4B9" w14:textId="1C95D39B" w:rsidR="00FF6787" w:rsidRDefault="00FF6787" w:rsidP="00001230">
      <w:r>
        <w:t>4</w:t>
      </w:r>
      <w:r w:rsidRPr="00FF6787">
        <w:rPr>
          <w:vertAlign w:val="superscript"/>
        </w:rPr>
        <w:t>th</w:t>
      </w:r>
      <w:r>
        <w:t xml:space="preserve"> graders: 41%</w:t>
      </w:r>
    </w:p>
    <w:p w14:paraId="472BDC10" w14:textId="16BE446A" w:rsidR="00FF6787" w:rsidRDefault="00FF6787" w:rsidP="00001230">
      <w:r>
        <w:t>5</w:t>
      </w:r>
      <w:r w:rsidRPr="00FF6787">
        <w:rPr>
          <w:vertAlign w:val="superscript"/>
        </w:rPr>
        <w:t>th</w:t>
      </w:r>
      <w:r>
        <w:t xml:space="preserve"> graders: 32%</w:t>
      </w:r>
    </w:p>
    <w:p w14:paraId="1848F515" w14:textId="77777777" w:rsidR="00FF6787" w:rsidRDefault="00FF6787" w:rsidP="00001230"/>
    <w:p w14:paraId="05C92173" w14:textId="2CECECE6" w:rsidR="00001230" w:rsidRDefault="00001230" w:rsidP="00001230">
      <w:r>
        <w:t>Math:</w:t>
      </w:r>
    </w:p>
    <w:p w14:paraId="13B7ED13" w14:textId="209778EA" w:rsidR="00001230" w:rsidRDefault="00001230" w:rsidP="00001230">
      <w:r>
        <w:t xml:space="preserve">All subgroups </w:t>
      </w:r>
      <w:r w:rsidR="00CD23D0">
        <w:t>exceeded the target except the low-income students who met the target.  Our score of 501 can be compared with 495 for MA and 503 for CPSD.</w:t>
      </w:r>
    </w:p>
    <w:p w14:paraId="3E98428F" w14:textId="5CFB3AC8" w:rsidR="00FF6787" w:rsidRDefault="00FF6787" w:rsidP="00FF6787">
      <w:r>
        <w:t>3</w:t>
      </w:r>
      <w:r w:rsidRPr="00FF6787">
        <w:rPr>
          <w:vertAlign w:val="superscript"/>
        </w:rPr>
        <w:t>rd</w:t>
      </w:r>
      <w:r>
        <w:t xml:space="preserve"> graders meeting or exceeding expectation: 60%</w:t>
      </w:r>
    </w:p>
    <w:p w14:paraId="723E453B" w14:textId="19706555" w:rsidR="00FF6787" w:rsidRDefault="00FF6787" w:rsidP="00FF6787">
      <w:r>
        <w:t>4</w:t>
      </w:r>
      <w:r w:rsidRPr="00FF6787">
        <w:rPr>
          <w:vertAlign w:val="superscript"/>
        </w:rPr>
        <w:t>th</w:t>
      </w:r>
      <w:r>
        <w:t xml:space="preserve"> graders: 47%</w:t>
      </w:r>
    </w:p>
    <w:p w14:paraId="59F2EE1B" w14:textId="77777777" w:rsidR="00FF6787" w:rsidRDefault="00FF6787" w:rsidP="00FF6787">
      <w:r>
        <w:t>5</w:t>
      </w:r>
      <w:r w:rsidRPr="00FF6787">
        <w:rPr>
          <w:vertAlign w:val="superscript"/>
        </w:rPr>
        <w:t>th</w:t>
      </w:r>
      <w:r>
        <w:t xml:space="preserve"> graders: 32%</w:t>
      </w:r>
    </w:p>
    <w:p w14:paraId="0B388284" w14:textId="77777777" w:rsidR="00C059F7" w:rsidRDefault="00C059F7" w:rsidP="00FF6787"/>
    <w:p w14:paraId="084C2BC9" w14:textId="1A3B40FD" w:rsidR="00C059F7" w:rsidRDefault="00C059F7" w:rsidP="00FF6787">
      <w:r>
        <w:t>Our science scores were also low.  One possibility is that the amount of science time has decreased; hopefully this will be somewhat helped by the fact that CKLA includes some science.   Another possibility is a cohort effect: science is only tested in 5</w:t>
      </w:r>
      <w:r w:rsidRPr="00C059F7">
        <w:rPr>
          <w:vertAlign w:val="superscript"/>
        </w:rPr>
        <w:t>th</w:t>
      </w:r>
      <w:r>
        <w:t xml:space="preserve"> grade, and the science scores there are </w:t>
      </w:r>
      <w:proofErr w:type="gramStart"/>
      <w:r>
        <w:t>similar to</w:t>
      </w:r>
      <w:proofErr w:type="gramEnd"/>
      <w:r>
        <w:t xml:space="preserve"> the Math and ELA scores that year.  The 5</w:t>
      </w:r>
      <w:r w:rsidRPr="00C059F7">
        <w:rPr>
          <w:vertAlign w:val="superscript"/>
        </w:rPr>
        <w:t>th</w:t>
      </w:r>
      <w:r>
        <w:t xml:space="preserve"> grade students were remote for half of kindergarten and all of 1</w:t>
      </w:r>
      <w:r w:rsidRPr="00C059F7">
        <w:rPr>
          <w:vertAlign w:val="superscript"/>
        </w:rPr>
        <w:t>st</w:t>
      </w:r>
      <w:r>
        <w:t xml:space="preserve"> grade</w:t>
      </w:r>
      <w:r w:rsidR="00083FAA">
        <w:t>, so was likely to have experienced more COVID learning loss than younger cohorts.</w:t>
      </w:r>
    </w:p>
    <w:p w14:paraId="277EF30D" w14:textId="5B9E0667" w:rsidR="00CD23D0" w:rsidRDefault="00CD23D0" w:rsidP="00001230"/>
    <w:p w14:paraId="0EF45033" w14:textId="5B0BC2A9" w:rsidR="009879A3" w:rsidRDefault="009879A3" w:rsidP="00001230">
      <w:r w:rsidRPr="009879A3">
        <w:rPr>
          <w:u w:val="single"/>
        </w:rPr>
        <w:lastRenderedPageBreak/>
        <w:t>School Improvement Plan</w:t>
      </w:r>
      <w:r>
        <w:br/>
        <w:t>We briefly discussed this.   The current SIP runs through the 2024-5 school year.  In March 2025 we’ll begin discussing the next SIP.</w:t>
      </w:r>
    </w:p>
    <w:p w14:paraId="0ED1CF89" w14:textId="77777777" w:rsidR="009879A3" w:rsidRDefault="009879A3" w:rsidP="00001230"/>
    <w:p w14:paraId="7F27C607" w14:textId="77777777" w:rsidR="009879A3" w:rsidRPr="008819CE" w:rsidRDefault="009879A3" w:rsidP="00001230">
      <w:pPr>
        <w:rPr>
          <w:u w:val="single"/>
        </w:rPr>
      </w:pPr>
      <w:r w:rsidRPr="008819CE">
        <w:rPr>
          <w:u w:val="single"/>
        </w:rPr>
        <w:t>Progress Reporting and Conferences</w:t>
      </w:r>
      <w:r w:rsidRPr="008819CE">
        <w:rPr>
          <w:u w:val="single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879A3" w14:paraId="60F8D87C" w14:textId="77777777" w:rsidTr="009879A3">
        <w:tc>
          <w:tcPr>
            <w:tcW w:w="3116" w:type="dxa"/>
          </w:tcPr>
          <w:p w14:paraId="448286CB" w14:textId="6316FADC" w:rsidR="009879A3" w:rsidRPr="009879A3" w:rsidRDefault="009879A3" w:rsidP="00001230">
            <w:pPr>
              <w:rPr>
                <w:b/>
                <w:bCs/>
              </w:rPr>
            </w:pPr>
            <w:r w:rsidRPr="009879A3">
              <w:rPr>
                <w:b/>
                <w:bCs/>
              </w:rPr>
              <w:t>Trimester dates</w:t>
            </w:r>
          </w:p>
        </w:tc>
        <w:tc>
          <w:tcPr>
            <w:tcW w:w="3117" w:type="dxa"/>
          </w:tcPr>
          <w:p w14:paraId="5E79E80B" w14:textId="11F28973" w:rsidR="009879A3" w:rsidRPr="009879A3" w:rsidRDefault="009879A3" w:rsidP="00001230">
            <w:pPr>
              <w:rPr>
                <w:b/>
                <w:bCs/>
              </w:rPr>
            </w:pPr>
            <w:r w:rsidRPr="009879A3">
              <w:rPr>
                <w:b/>
                <w:bCs/>
              </w:rPr>
              <w:t>Progress Report Dates</w:t>
            </w:r>
          </w:p>
        </w:tc>
        <w:tc>
          <w:tcPr>
            <w:tcW w:w="3117" w:type="dxa"/>
          </w:tcPr>
          <w:p w14:paraId="05C7E716" w14:textId="71316DB5" w:rsidR="009879A3" w:rsidRPr="009879A3" w:rsidRDefault="009879A3" w:rsidP="00001230">
            <w:pPr>
              <w:rPr>
                <w:b/>
                <w:bCs/>
              </w:rPr>
            </w:pPr>
            <w:r w:rsidRPr="009879A3">
              <w:rPr>
                <w:b/>
                <w:bCs/>
              </w:rPr>
              <w:t>Conferences</w:t>
            </w:r>
          </w:p>
        </w:tc>
      </w:tr>
      <w:tr w:rsidR="009879A3" w14:paraId="4315C9C8" w14:textId="77777777" w:rsidTr="009879A3">
        <w:tc>
          <w:tcPr>
            <w:tcW w:w="3116" w:type="dxa"/>
          </w:tcPr>
          <w:p w14:paraId="0284A640" w14:textId="1108D685" w:rsidR="009879A3" w:rsidRDefault="009879A3" w:rsidP="00001230">
            <w:r>
              <w:t>9/3 – 12/2</w:t>
            </w:r>
          </w:p>
        </w:tc>
        <w:tc>
          <w:tcPr>
            <w:tcW w:w="3117" w:type="dxa"/>
          </w:tcPr>
          <w:p w14:paraId="35EAA10B" w14:textId="4661FBF8" w:rsidR="009879A3" w:rsidRDefault="009879A3" w:rsidP="00001230">
            <w:r>
              <w:t>K 11/22</w:t>
            </w:r>
            <w:r>
              <w:br/>
              <w:t>1-5 and specialists: 12/16</w:t>
            </w:r>
          </w:p>
        </w:tc>
        <w:tc>
          <w:tcPr>
            <w:tcW w:w="3117" w:type="dxa"/>
          </w:tcPr>
          <w:p w14:paraId="0530FAE5" w14:textId="6EB56A4F" w:rsidR="009879A3" w:rsidRDefault="009879A3" w:rsidP="00001230">
            <w:r>
              <w:t>CPP/K: 11/27-12/20</w:t>
            </w:r>
            <w:r>
              <w:br/>
              <w:t>1-5: 1/3-2/7</w:t>
            </w:r>
          </w:p>
        </w:tc>
      </w:tr>
      <w:tr w:rsidR="009879A3" w14:paraId="6D56A9D5" w14:textId="77777777" w:rsidTr="009879A3">
        <w:tc>
          <w:tcPr>
            <w:tcW w:w="3116" w:type="dxa"/>
          </w:tcPr>
          <w:p w14:paraId="35EAC60A" w14:textId="53795026" w:rsidR="009879A3" w:rsidRDefault="009879A3" w:rsidP="00001230">
            <w:r>
              <w:t>12/2 – 2/28</w:t>
            </w:r>
          </w:p>
        </w:tc>
        <w:tc>
          <w:tcPr>
            <w:tcW w:w="3117" w:type="dxa"/>
          </w:tcPr>
          <w:p w14:paraId="0ABC32F2" w14:textId="5F88D44F" w:rsidR="009879A3" w:rsidRDefault="009879A3" w:rsidP="00001230">
            <w:r>
              <w:t>Aspen progress report: 2/28</w:t>
            </w:r>
          </w:p>
        </w:tc>
        <w:tc>
          <w:tcPr>
            <w:tcW w:w="3117" w:type="dxa"/>
          </w:tcPr>
          <w:p w14:paraId="70FB2210" w14:textId="7335131B" w:rsidR="009879A3" w:rsidRDefault="009879A3" w:rsidP="00001230">
            <w:r>
              <w:t>3/10-3/28 (as needed)</w:t>
            </w:r>
          </w:p>
        </w:tc>
      </w:tr>
      <w:tr w:rsidR="009879A3" w14:paraId="758262D5" w14:textId="77777777" w:rsidTr="009879A3">
        <w:tc>
          <w:tcPr>
            <w:tcW w:w="3116" w:type="dxa"/>
          </w:tcPr>
          <w:p w14:paraId="30BE517B" w14:textId="11C91167" w:rsidR="009879A3" w:rsidRDefault="009879A3" w:rsidP="00001230">
            <w:r>
              <w:t>3/3 – 6/16</w:t>
            </w:r>
          </w:p>
        </w:tc>
        <w:tc>
          <w:tcPr>
            <w:tcW w:w="3117" w:type="dxa"/>
          </w:tcPr>
          <w:p w14:paraId="1048B454" w14:textId="1A9EE83C" w:rsidR="009879A3" w:rsidRDefault="009879A3" w:rsidP="00001230">
            <w:r>
              <w:t>6/16</w:t>
            </w:r>
          </w:p>
        </w:tc>
        <w:tc>
          <w:tcPr>
            <w:tcW w:w="3117" w:type="dxa"/>
          </w:tcPr>
          <w:p w14:paraId="503AA96C" w14:textId="0C60748F" w:rsidR="009879A3" w:rsidRDefault="009879A3" w:rsidP="00001230">
            <w:r>
              <w:t>5/5-6/13</w:t>
            </w:r>
          </w:p>
        </w:tc>
      </w:tr>
    </w:tbl>
    <w:p w14:paraId="605C22D5" w14:textId="7B9ADD46" w:rsidR="009879A3" w:rsidRDefault="009879A3" w:rsidP="00001230"/>
    <w:p w14:paraId="2296CC5E" w14:textId="02E3BA39" w:rsidR="008819CE" w:rsidRDefault="008819CE" w:rsidP="00001230">
      <w:r>
        <w:t>There is a district-wide program to review progress reports.</w:t>
      </w:r>
    </w:p>
    <w:sectPr w:rsidR="008819CE" w:rsidSect="00FF2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8673F4"/>
    <w:multiLevelType w:val="hybridMultilevel"/>
    <w:tmpl w:val="459E4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714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230"/>
    <w:rsid w:val="00001230"/>
    <w:rsid w:val="00083FAA"/>
    <w:rsid w:val="001B3368"/>
    <w:rsid w:val="001E0D1F"/>
    <w:rsid w:val="00457297"/>
    <w:rsid w:val="00591C50"/>
    <w:rsid w:val="00651AE5"/>
    <w:rsid w:val="007D506E"/>
    <w:rsid w:val="008819CE"/>
    <w:rsid w:val="009879A3"/>
    <w:rsid w:val="00BB1652"/>
    <w:rsid w:val="00C059F7"/>
    <w:rsid w:val="00CD23D0"/>
    <w:rsid w:val="00DC3A18"/>
    <w:rsid w:val="00FF2A5A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E9C8BA"/>
  <w15:chartTrackingRefBased/>
  <w15:docId w15:val="{1B73F6DD-2CC5-E949-AC79-3385E88B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2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2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2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2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2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2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2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2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7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 Harrow</dc:creator>
  <cp:keywords/>
  <dc:description/>
  <cp:lastModifiedBy>Aram Harrow</cp:lastModifiedBy>
  <cp:revision>3</cp:revision>
  <dcterms:created xsi:type="dcterms:W3CDTF">2024-11-20T23:12:00Z</dcterms:created>
  <dcterms:modified xsi:type="dcterms:W3CDTF">2024-12-08T21:32:00Z</dcterms:modified>
</cp:coreProperties>
</file>